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Authorization Call Script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Step-by-step phone script for requesting prior authorizations from insurance payers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Use this script every time you call a payer for prior authorization. Fill in the Before You Call section before dialing. Document every response immediately — do not rely on memory.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BEFORE YOU CALL — GATHER THIS FIRST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[Last, First]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Member / Policy ID: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[Member ID]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Group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[Group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Line Phone: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Requesting Provider: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[Name, NPI]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Rendering Provider (if diff.):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[Name, NPI]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CPT Code(s) Requesting Auth For: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[Code(s)]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ICD-10 Diagnosis: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[Code(s)]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Requested Service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Place of Service: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[Code / Setting]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Units / Visits Requested: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[#]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Urgency: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Routine  [ ] Urgent  [ ] Emergent</w:t>
            </w:r>
          </w:p>
        </w:tc>
      </w:tr>
    </w:tbl>
    <w:p>
      <w:pPr>
        <w:spacing w:after="0" w:before="8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F3B4D"/>
          <w:sz w:val="20"/>
          <w:szCs w:val="20"/>
        </w:rPr>
        <w:t xml:space="preserve">Clinical documentation ready to fax/upload: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Letter of medical necessity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Relevant clinical notes / H&amp;P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Prior treatment history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Supporting lab, imaging, or diagnostic results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THE CALL SCRIPT</w:t>
      </w:r>
    </w:p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Navigate the IVR / Get to the Right Department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Call the Provider Services / Prior Authorization line on the back of the member's insurance card. Listen carefully to menu options — you typically want: Prior Authorization or Utilization Management. Avoid the Member Services line.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“Press [#] for Prior Authorization. If unsure, say 'Prior Authorization' to the automated system.”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Verify Your Identity as a Provider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The rep will ask for your NPI, Tax ID, and practice information before giving you any claim-specific information.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“This is [Your Name] calling from [Practice Name]. Our NPI is [NPI] and our Tax ID is [Tax ID]. I'm calling to request a prior authorization for one of our patients.”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Verify Patient Eligibility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Before submitting the auth request, confirm the patient's coverage is active for the requested service date.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“Can you confirm active eligibility for [Patient Name], date of birth [DOB], member ID [Member ID], for a service date of [date]?”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Confirm Prior Auth Is Required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Always confirm that the specific CPT code requires authorization under this patient's specific plan. Do not assume — auth requirements vary by plan and CPT.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“I need to confirm whether prior authorization is required for CPT [code] under this member's [plan name] plan. Can you verify that for me?”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Submit the Authorization Request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Provide all clinical and service information clearly. Have documentation ready to fax if the rep requests it during the call.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“I'd like to request prior authorization for: CPT [code] — [description], for [patient name], DOB [DOB]. The diagnosis is ICD-10 [code]. The requesting provider is [provider name], NPI [NPI]. We are requesting [# units/visits] for dates [start] through [end].”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Respond to Clinical Questions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The rep or an automated system may ask clinical screening questions. Answer based on your documentation. If transferred to a clinical reviewer, be ready to provide medical necessity justification.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“The patient presents with [diagnosis/symptoms]. Prior treatments including [list] were attempted without adequate response. The requested service is clinically indicated because [reason].”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04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749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single" w:color="CBD5E1" w:sz="1"/>
              <w:right w:val="none" w:color="FFFFFF" w:sz="0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Get the Authorization Number &amp; Details</w:t>
            </w:r>
          </w:p>
        </w:tc>
      </w:tr>
    </w:tbl>
    <w:p>
      <w:pPr>
        <w:spacing w:after="0" w:before="40"/>
      </w:pPr>
    </w:p>
    <w:p>
      <w:pPr>
        <w:spacing w:after="60" w:before="0"/>
        <w:ind w:left="72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Never end the call without a reference or authorization number. Write down everything.</w:t>
      </w:r>
    </w:p>
    <w:tbl>
      <w:tblPr>
        <w:tblW w:type="dxa" w:w="79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920"/>
      </w:tblGrid>
      <w:tr>
        <w:tc>
          <w:tcPr>
            <w:tcW w:type="dxa" w:w="7920"/>
            <w:tcBorders>
              <w:top w:val="none" w:color="FFFFFF" w:sz="0"/>
              <w:left w:val="single" w:color="0E7490" w:sz="6"/>
              <w:bottom w:val="none" w:color="FFFFFF" w:sz="0"/>
              <w:right w:val="none" w:color="FFFFFF" w:sz="0"/>
            </w:tcBorders>
            <w:shd w:fill="F0F9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1F3B4D"/>
                <w:sz w:val="19"/>
                <w:szCs w:val="19"/>
              </w:rPr>
              <w:t xml:space="preserve">“Can I get the authorization number, the approved number of visits/units, the valid date range, and your name and reference number for this call?”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CALL DOCUMENTATION — COMPLETE BEFORE HANGING UP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Call: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[HH:MM AM/PM]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Rep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Reference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[Ref #]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Call Duration: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[# minutes]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Hold Time: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[# minutes]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 Required?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 [ ] No  [ ] Not Confirmed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[Auth # or Pending]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Decision: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Approved  [ ] Denied  [ ] Pended  [ ] Needs Documentation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Approved Dates: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 through 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Approved Units: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[#]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 Required?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— Fax to: [Fax #]  [ ] No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 Confirmation #: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[Confirmation #]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Expected Decision Date (if pended):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Follow-Up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Additional Notes: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[Any conditions, restrictions, or payer-specific requirements communicated on the call]</w:t>
            </w:r>
          </w:p>
        </w:tc>
      </w:tr>
    </w:tbl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IF THE AUTHORIZATION IS DENIED ON THE CALL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Ask for the specific denial reason and denial code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Ask what clinical documentation would support a reconsideration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Request a peer-to-peer review with the medical director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  available within 72 hours at most payers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Ask for the appeal deadline and fax number for appeal submissions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Document denial reason, rep name, and reference number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Notify the ordering provider same day — do not schedule service until auth is resolved</w:t>
      </w:r>
    </w:p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Denial Reason Given: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[Denial reason / code]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Peer-to-Peer Requested?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— Scheduled: [Date/Time]  [ ] No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 Deadline: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2026-06-20T22:06:00.568Z</dcterms:created>
  <dcterms:modified xsi:type="dcterms:W3CDTF">2026-06-20T22:06:00.568Z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